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зниченко Игоря Викторовича на нарушение его конституционных прав пунктом 4 статьи 1152 и пунктом 2 статьи 115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Резни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Резниченко оспаривает конституционность пункта 4 статьи 1152 «Принятие наследства» и пункта 2 статьи 1153 «Способы принятия наследства» ГК Российской Федерации. Как следует из представленных материалов, определением суда апелляционной инстанции, с которым согласились суды кассационной инстанции, частично удовлетворен иск гражданки С. к ряду ответчиков; удовлетворено требование об изъятии земельного участка из владения И.В.Резниченко. Суд на основе применимого к спорному отношению права установил, что истица являлась сособственником указанного земельного участка, который выбыл из ее владения помимо ее воли. 2 По мнению заявителя, оспариваемые нормы противоречат статьям 2, 17, 18, 35 и 36 (часть 1) Конституции Российской Федерации, поскольку они не устанавливают требований к сроку, в течение которого наследник обязан совершить действия по регистрации своего права, обеспечив публичность (доступность) сведений о своем праве, чем допускают истребование имущества от добросовестного приобрет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зниченко Игоря Викторо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