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Ермоленко Андрея Леонидовича на нарушение его конституционных прав частью второй статьи 849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А.Л.Ермоленко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А.Л.Ермоленко оспаривает конституционность части второй статьи 849 ГК Российской Федерации, предусматривающей, что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Из представленных материалов следует, что решением мирового судьи, с которым согласились суды вышестоящих инстанций, отказано в 2 удовлетворении исковых требования А.Л.Ермоленко к банку о возмещении убытков в связи с ненадлежащим исполнением операций по переводу денежных средств, компенсации морального вреда, штрафа. По мнению заявителя, оспариваемое положение противоречит статьям 17 (часть 3), 35 (часть 2) и 74 (часть 1) Конституции Российской Федерации в той мере, в какой не учитывает появившиеся новые способы перевода денежных средств и не предусматривает, что распоряжение клиента о переводе денежных средств должно быть исполнено банком в кратчайший срок.</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849 ГК Российской Федерации, согласно которой банк обязан по распоряжению клиента выдавать или перечислять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направлена на обеспечение баланса интересов сторон договора банковского счета и сама по себе не может расцениваться как нарушающая перечисленные в жалобе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Ермоленко Андрея Леонидовича, поскольку она не отвечает требованиям Федерального конституционного закона «О Конституционном Суде Российской 3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