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2022-О/2023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Сергиенко Владимира Ивановича на нарушение его конституционных прав пунктом 2 статьи 1101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В.И.Сергиенко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В.И.Сергиенко оспаривает конституционность пункта 2 статьи 1101 ГК Российской Федерации, согласно которому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2 Как следует из представленных материалов, решением суда общей юрисдикции, с которым согласились вышестоящие суды, частично удовлетворен иск В.И.Сергиенко о компенсации за счет казны морального вреда, причиненного незаконным уголовным преследованием. По мнению заявителя, оспариваемая норма противоречит статье 52 Конституции Российской Федерации, поскольку по смыслу, придаваемому ей правоприменительной практикой, при определении размера компенсации морального вреда не обязывает суды учитывать физические страдания, понесенные потерпевшим вследствие обострения хронических заболеваний, произошедшего в связи с незаконным уголовным преследованием.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1101 ГК Российской Федерации закрепляет, что размер компенсации морального вреда определяется судом, в частности, в зависимости от характера причиненных потерпевшему физических и нравственных страданий, который оценивается судом в том числе с учетом фактических обстоятельств, при которых был причинен моральный вред. Указанное положение, устанавливающее гарантии защиты прав граждан, не содержит неопределенности и предполагает необходимость учета судом при определении размера компенсации морального вреда всех существенных обстоятельств, в том числе и вызванного поведением причинителя вреда обострения хронических заболеваний, а потому не может рассматриваться как нарушающее в указанном в жалобе аспекте конституционные права В.И.Сергиенко. Оценка же правильности определения судом размера компенсации морального вреда, причиненного заявителю, требует установления и исследования фактических обстоятельств и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Сергиенко Владимира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