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Потапчик Галины Николаевны на нарушение ее конституционных прав пунктом 1 части первой статьи 134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Г.Н.Потапчик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Г.Н.Потапчик оспаривает конституционность пункта 1 части первой статьи 134 «Отказ в принятии искового заявления»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Г.Н.Потапчик отказано в принятии искового заявления к Минфину России о взыскании убытков. Определением судьи Верховного Суда Российской Федерации, с которым согласился заместитель Председателя этого суда, заявительнице было отказано в передаче 2 кассационной жалобы для рассмотрения в судебном заседании Судебной коллегии по гражданским делам Верховного Суда Российской Федерации. По мнению Г.Н.Потапчик, оспариваемое законоположение не соответствует статьям 46 (часть 1), 47 (часть 1) и 53 Конституции Российской Федерации, поскольку позволяет отказывать в принятии искового заявления о возмещении государством вреда, причиненного гражданину незаконными действиями (бездействием) суда (судьи) в гражданском судопроизводстве, в случае, если они не связаны с принятием судебных постановлений, которыми разрешается дело по существу.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Потапчик Галины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