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Юдиной Инессы Сергеевны на нарушение ее конституционных прав пунктом 2 статьи 389 Гражданского кодекса Российской Федерации, пунктом 1 статьи 16, пунктом 5 статьи 47, абзацем первым пункта 1 и пунктом 2 статьи 48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И.С.Юдиной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И.С.Юдина, которой отказано в удовлетворении ряда встречных исковых требований к банку, в том числе о признании соглашений о передаче договоров (передаче прав и обязанностей) недействительными и о снятии обременения в виде залога, оспаривает конституционность пункта 2 статьи 389 «Форма уступки требования» ГК Российской Федерации, а также пункта 1 статьи 16 «Регистрация владельцев закладной», пункта 5 статьи 47 «Уступка прав по договору об ипотеке или обеспеченному ипотекой обязательству» и абзаца первого 2 пункта 1 статьи 48 «Передача прав на закладную» Федерального закона от 16 июля 1998 года № 102-ФЗ «Об ипотеке (залоге недвижимости)». По мнению заявительницы, оспариваемые нормы не соответствуют статьям 1 (часть 1), 4 (часть 2), 15 (части 1 и 2), 17, 19 (части 1 и 2), 35 (части 1 и 3), 45 (часть 1), 46 (части 1 и 2) и 120 (часть 1) Конституции Российской Федерации в той мере, в какой они по смыслу, придаваемому им правоприменительной практикой, допускают, вопреки федеральному закону, уступку требования по обеспеченному ипотекой договору, права по которому удостоверены закладной, а также не предполагают обязательной регистрации сделки по такой уступке.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И.С.Юдиной в обоснование ее позиции, свидетельствуют о том, что она, формально оспаривая конституционность названных норм, фактически предлагает Конституционному Суду Российской Федерации дать оценку правильности выбора и применения судами норм права с учетом конкретных обстоятельств ее дела. Между тем проверка фактических обстоятельств конкретного дела и оценка доказательств, послуживших основанием для применения или неприменения в нем тех или иных положений, равно как и проверка соответствия норм федеральных законов друг другу,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Юдиной Инессы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