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Князькиной Натальи Владимировны на нарушение ее конституционных прав частью 6 статьи 1572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Н.В.Князькиной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Н.В.Князькина оспаривает конституционность части 6 статьи 1572 Жилищного кодекса Российской Федерации, согласно которой 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заключаются на неопределенный срок в соответствии с типовыми договорами, утвержденными Правительством 2 Российской Федерации; заключение договора в письменной форме не требуется. Как следует из представленных материалов, решением мирового судьи с Н.В.Князькиной взыскана задолженность по оплате коммунальных услуг по отоплению и горячему водоснабжению. По мнению заявительницы, оспариваемая норма не соответствует статьям 2, 7, 17 (часть 3), 18 и 55 Конституции Российской Федерации, поскольку не предусматривает заключения договора о предоставлении коммунальных услуг в письменной форме, чем усложняет получение гражданином информации об условиях оказания этих услуг.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или, когда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заявительницей представлено лишь решение мирового судьи, что не позволяет сделать вывод об исчерпании ею внутригосударственных средств судебной защиты.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Князькиной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