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Шкарупина Сергея Валерьевича на нарушение его конституционных прав статьями 6, 9, 18, 60 и 86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С.В.Шкарупина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С.В.Шкарупин, отбывающий наказание в виде пожизненного лишения свободы, просит признать не соответствующими статье 50 (часть 1) Конституции Российской Федерации статьи 6 «Принцип справедливости», 9 «Действие уголовного закона во времени», 18 «Рецидив преступлений», 60 «Общие начала назначения наказания» и 86 «Судимость» УК Российской Федерации. По мнению заявителя, данные нормы позволяют суду при назначении наказания учитывать в качестве сведений о личности и поведении лица факт совершения им иного преступления, за которое он ранее был осужден, хотя само преступление было совершено до 2 преступления, за которое назначается наказание, а также факт судимости, тем самым дважды наказывая лицо за совершение одного и того же деяния.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С.В.Шкарупин оспаривал в аналогичном аспекте конституционность статей 6, 9, 18, 60 и 86 УК Российской Федерации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Шкарупина Сергея Валерьевича,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