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3069-О/2023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«Темп» на нарушение его конституционных прав положениями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«Темп»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«Темп» (далее также – ООО «Темп») оспаривает конституционность пункта 1 части 2 и пункта 1 части 3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определениями арбитражного суда апелляционной инстанции, оставленными без изменения арбитражным судом кассационной инстанции, отказано в удовлетворении заявлений ООО «Темп» о пересмотре вступившего в законную силу постановления этого же арбитражного суда по вновь открывшимся и новым обстоятельствам. Определениями судьи Верховного Суда Российской 2 Федерации заявителю отказано в передаче кассационных жалоб для рассмотрения в судебном заседании Судебной коллегии по экономическим спорам Верховного Суда Российской Федерации. По мнению ООО «Темп», оспариваемые законоположения противоречат Конституции Российской Федерации, ее статьям 15 (часть 1), 46, 49, 50 (часть 2), 52–54, 55 (часть 2), 71 (пункт «а») и 123 (части 1 и 3), поскольку препятствуют пересмотру арбитражным судом судебного акта по новым и вновь открывшимся обстоятельствам, создают тем самым условия для существования противоречивых решений арбитражных судов и судов общей юрисдикции и не позволяют восстановить нарушенные права. Кроме того, заявитель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27 июня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«Темп»,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