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Мурадяна Арсена Мурадовича на нарушение его конституционных прав частью 2 статьи 103 Жилищного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А.М.Мурадяна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А.М.Мурадян оспаривает конституционность части 2 статьи 103 «Выселение граждан из специализированных жилых помещений» Жилищного кодекса Российской Федерации. Из представленных материалов следует, что решением суда общей юрисдикции, с которым согласились суды вышестоящих инстанций, удовлетворено требование общества с ограниченной ответственностью к заявителю о выселении из жилого помещения в общежитии. По мнению А.М.Мурадяна, оспариваемая норма не соответствует статьям 1 (часть 1), 2, 18, 19 (часть 2) и 55 (части 2 и 3) Конституции Российской Федерации, поскольку допускает выселение из служебных 2 жилых помещений граждан, которые в соответствии с действующим до введения в действие Жилищного кодекса Российской Федерации законодательством были вселены в указанные помещения и не могли быть выселены без предоставления другого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Часть 2 статьи 103 Жилищного кодекса Российской Федерации, учитывающая особенности правового режима жилых помещений в общежитиях, пользование которыми осуществляется в соответствии с жилищным законодательством, применяемая с учетом статьи 13 Федерального закона от 29 декабря 2004 года № 189-ФЗ «О введении в действие Жилищного кодекса Российской Федерации», которая распространяет содержащиеся в ней гарантии на лиц, состоящих на учете в качестве нуждающихся в жилых помещениях или имеющих право состоять на таком учете, направлена на предоставление социальной защиты определенной категории граждан и не может расцениваться как нарушающая конституционные права А.М.Мурадяна, в деле с участием которого суды исходили из того, что он утратил право состоять на учете в качестве нуждающегося в жилом помещении с 2003 года, поскольку является собственником другого жилого помещения. Установление же и оценка фактических обстоятельств, имеющих значение для разрешения конкретного дела, на что, по существу, направлены доводы заявителя, в полномочия Конституционного Суда Российской Федерации, закрепленные в статье 125 Конституции Российской Федерации и статье 3 Федерального конституционного закона «О Конституционном Суде Российской Федерации», не входят.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Мурадяна Арсена Мурадовича,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