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Масляевой Елены Сергеевны на нарушение ее конституционных прав пунктом 3 статьи 1083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Е.С.Масляевой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Е.С.Масляева оспаривает конституционность пункта 3 статьи 1083 «Учет вины потерпевшего и имущественного положения лица, причинившего вред» ГК Российской Федерации. Как следует из представленных материалов, решением суда первой инстанции с учетом определения суда апелляционной инстанции, с которым согласились суды вышестоящих инстанций, с Е.С.Масляевой взыскано возмещение вреда, причиненного ее несовершеннолетним сыном. 2 По мнению Е.С.Масляевой, оспариваемая норма не соответствует статье 671 Конституции Российской Федерации, поскольку противоречит принципу приоритета детей в государственной политике.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Требования заявительницы и доводы, приведенные в обоснование ее позиции, свидетельствуют о том, что нарушение своих конституционных прав она связывает не с содержанием оспариваемых нормативных положений, а с неправильным, по ее мнению, их применением судами общей юрисдикции, с постановлениями которых она фактически выражает несогласие. Между тем установление фактических обстоятельств дела и оценка правильности применения судами норм права с учетом этих обстоятельств, равно как и разрешение иных поставленных в жалобе вопросов,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Масляевой Елены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