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2913-О/2023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Хачатурова Михаила Валентиновича на нарушение его конституционных прав частью первой статьи 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М.В.Хачатурова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общей юрисдикции, оставленным без изменения судом апелляционной инстанции и кассационным судом общей юрисдикции, удовлетворено заявление гражданки В. о взыскании судебных расходов, понесенных ею при рассмотрении судом заявления гражданина М.В.Хачатурова о взыскании судебных расходов, производство по которому было прекращено в связи с принятием судом отказа заявителя от данного требования. В связи с этим М.В.Хачатуров оспаривает конституционность части первой статьи 98 «Распределение судебных расходов между сторонами» ГПК 2 Российской Федерации и полагает ее не соответствующей статье 46 (часть 1) Конституции Российской Федерации, поскольку она позволяет суду удовлетворить заявление о взыскании судебных расходов стороны, не в пользу которой состоялось решение по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конституционных прав. Представленные материалы не позволяют сделать вывод об исчерпании М.В.Хачатуровым, приложившим к жалобе копии постановлений судов первой, апелляционной и кассационной инстанций, всех внутригосударственных средств судебной защиты.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Хачатурова Михаила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