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Стегнюшина Александра Николаевича на нарушение его конституционных прав положениями статей 56 и 66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А.Н.Стегнюшина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А.Н.Стегнюшин оспаривает конституционность следующих положений Трудового кодекса Российской Федерации: статьи 56 (фактически, ее части первой), определяющей понятие трудового договора; статьи 66, содержащей положения о трудовой книжке. По мнению заявителя, оспариваемые нормы не соответствуют статье 39 (часть 1) Конституции Российской Федерации, поскольку при решении вопроса о включении периодов работы в стаж, дающий право на досрочное 2 назначение страховой пенсии по старости, допускают признание трудовой книжки и трудового договора недопустимыми доказательствами.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Стегнюшина Александра Николаевича,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