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1833-О/2024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Бородкиной Софьи Эммануиловны на нарушение ее конституционных прав пунктом 2 статьи 334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С.Э.Бородкиной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С.Э.Бородкина оспаривает конституционность пункта 2 статьи 334 «Полномочия суда апелляционной инстанции при рассмотрении частной жалобы, представления прокурора» ГПК Российской Федерации. Как следует из представленных материалов, суд апелляционной инстанции, отменив определение суда первой инстанции, взыскал с С.Э.Бородкиной судебные расходы в пользу гражданки Б., с чем согласился кассационный суд общей юрисдикции.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2 По мнению С.Э.Бородкиной, в результате применения судом в ее деле оспариваемого законоположения были нарушены ее права, гарантированные статьями 17 (части 1 и 2), 18 (часть 1), 45 и 46 (часть 1)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Бородкиной Софьи Эммануиловны,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