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«Аксаковское подворье» на нарушение его конституционных прав статьей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«Аксаковское подворье»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«Аксаковское подворье» (далее также – ООО «Аксаковское подворье») оспаривает конституционность статьи 10 «Пределы осуществления гражданских прав» ГК Российской Федерации. Как следует из представленных материалов, арбитражный суд первой инстанции, в том числе со ссылкой на обстоятельства, установленные вступившим в законную силу судебным актом арбитражного суда по ранее рассмотренному делу, отказал в удовлетворении искового требования ООО «Аксаковское подворье» о признании недействительными условий договора 2 лизинга. Апелляционная и кассационная жалобы заявителя на решение арбитражного суда были оставлены без удовлетворения. По мнению заявителя, статья 10 ГК Российской Федерации не соответствует статьям 45, 46 (части 1 и 2), 55 (часть 3), 56 (часть 3), 118 (часть 2), 120 (часть 1) и 123 (часть 3) Конституции Российской Федерации, поскольку она по смыслу, придаваемому ей правоприменительной практикой, позволяет суду отказать в удовлетворении искового требования о признании незаконными действий ответчика и не рассматривать доказательства под предлогом признания поданного иска нарушением гражданского законодательства и злоупотреблением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«Аксаковское подворье»,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