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Сафиулиной Людмилы Павловны на нарушение ее конституционных прав статьями 195, 196 и 200 Гражданского кодекса Российской Федерации во взаимосвязи с иными положениями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Л.П.Сафиулиной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Л.П.Сафиулина оспаривает конституционность статей 195 «Понятие исковой давности» , 196 «Общий срок исковой давности» и 200 «Начало течения срока исковой давности » ГК Российской Федерации во взаимосвязи со статьями 203 «Перерыв течения срока исковой давности», 204 «Течение срока исковой давности при защите нарушенного права в судебном порядке», 206 «Исполнение обязанности по истечении срока исковой давности», 208 «Требования, на которые исковая давность не распространяется» и 314 «Срок исполнения обязательства» того же Кодекса. 2 Как следует из представленных материалов, решением суда общей юрисдикции, оставленным без изменения судами вышестоящих инстанций, Л.П.Сафиулиной отказано в удовлетворении исковых требований о взыскании задолженности по договору займа и процентов за пользование чужими денежными средствами. Суд пришел к выводу о пропуске срока исковой давности. По мнению Л.П.Сафиулиной, оспариваемые нормы противоречат статьям 8 (часть 1), 17 (часть 3), 18, 19 (часть 1), 35 (часть 1), 46 (часть 1)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заявительницы свидетельствуют о том, что, формально оспаривая конституционность норм Гражданского кодекса Российской Федерации, она, по существу, предлагает Конституционному Суду Российской Федерации оценить обоснованность судебных постановлений, принятых по делу с ее участием. Между тем разрешение таких вопросов, предполагающее исследование и оценку фактических обстоятельств конкретного дела,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Сафиулиной Людмилы Павловны,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