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Егорова Владимира Викторовича на нарушение его конституционных прав пунктом 3 статьи 1812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В.В.Егорова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В.В.Егоров оспаривает конституционность пункта 3 статьи 1812 «Принятие решения собрания» ГК Российской Федерации, закрепляющего требования к оформлению решений собраний. Как следует из представленных материалов, постановлением суда апелляционной инстанции, оставленным без изменения постановлением суда кассационной инстанции, определение арбитражного суда об удовлетворении ходатайства конкурсного управляющего о взыскании убытков в рамках дела о несостоятельности (банкротстве) изменено в части размера взыскиваемых убытков, в остальной части оставлено без изменения. В передаче 2 кассационной жалобы на это судебное определение и постановления судов апелляционной и кассационной инстанций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пункт 3 статьи 1812 ГК Российской Федерации противоречит статьям 2, 17, 18, 19 (часть 1), 45, 46 (часть 1) и 55 (часть 2) Конституции Российской Федерации, поскольку позволяет считать протокол общего собрания участников гражданско-правового сообщества надлежащим и достоверным документом в отсутствие подписей лиц, принимавших участие в таком собрании.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в конкретном деле пункта 3 статьи 1812 ГК Российской Федерации, а потому жалоба не может быть признана допустимой.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Егорова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