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Ш. на нарушение его конституционных прав пунктом 1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Ш.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Ш., в удовлетворении требований которого о признании сведений не соответствующими действительности, порочащими его честь и достоинство, а также о взыскании компенсации морального вреда отказано, оспаривает конституционность пункта 1 статьи 152 «Защита чести, достоинства и деловой репутации» ГК Российской Федерации. По мнению заявителя, оспариваемая норма противоречит статьям 17, 18, 21 (часть 1), 23 (часть 1), 45 (часть 1), 46 (часть 1) и 56 (часть 3) Конституции Российской Федерации в той мере, в какой по смыслу, придаваемому ей правоприменительной практикой, в системе действующего правового регулирования она позволяет судам отказывать в удовлетворении требований о защите чести и достоинства гражданина в ситуации, когда 2 распространенные сведения, порочащие честь и достоинство этого гражданина, имели форму утверждения, что подтверждено судебной лингвистической экспертизой.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Ш. в жалобе (в частности, о том, что суды неверно установили и проанализировали фактические обстоятельства дела, выводы судов не основаны на действующем законодательстве), свидетельствуют о том, что он, формально оспаривая конституционность указанной в жалобе нормы, фактически просит проверить правильность ее применения судами в конкретном деле с его участием. Между тем такая проверка, сопряженная с оценкой доказательств и исследованием фактических обстоятельств конкретного дела,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