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Романова Вячеслава Геннадьевича на нарушение его конституционных прав частью первой статьи 27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В.Г.Романова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В.Г.Романов, отбывающий наказание в виде лишения свободы, утверждает, что часть первая статьи 27 «Основания прекращения уголовного преследования» УПК Российской Федерации противоречит статьям 45 (часть 1), 46 (часть 1), 49 (часть 3), 50 (часть 1), 52 и 53 Конституции Российской Федерации, поскольку не обязывает прекратить уголовное преследование в случае, когда по одному и тому же обвинению вынесено несколько постановлений о привлечении лица в качестве обвиняемого.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предписаний Федерального конституционного закона «О Конституционном Суде Российской Федерации» правом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Романова Вячеслава Геннадьевича, поскольку она не отвечает требованиям Федерального конституционного закона «О Конституционном Суде 3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