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1990-П/2021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Игранова Дмитрия Александровича на нарушение его конституционных прав статьей 4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В.Г.Ярославцева, рассмотрев вопрос о возможности принятия жалобы гражданина Д.А.Игранова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 11 апреля 2013 года, с которым согласился заместитель Председателя этого суда (письмо от 17 декабря 2019 года), гражданину Д.А.Игранову отказано в пересмотре вынесенных в его отношении приговора областного суда и кассационного определения Судебной коллегии по уголовным делам Верховного Суда Российской Федерации. Последующая надзорная жалоба Д.А.Игранова возвращена письмом судьи Верховного Суда Российской Федерации от 10 декабря 2020 года без рассмотрения как повторная. 2 Заявитель утверждает, что статья 4 «Действие уголовно- процессуального закона во времени» УПК Российской Федерации не соответствует статьям 15 (часть 1) и 49 (часть 1) Конституции Российской Федерации, поскольку лишает осужденного права на пересмотр вышестоящим судом неправосудного судебного решения.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Вопрос о проверке конституционности статьи 4 УПК Российской Федерации уже ставился Д.А.Играновым в его предшествующей жалобе, по результату изучения которой Конституционным Судом Российской Федерации вынесено Определение от 28 сентября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Игранова Дмитрия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