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Муромцева Ильи Валерьевича на нарушение его конституционных прав положениями статьи 34 Федерального закона «О почтовой связи»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И.В.Муромцева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И.В.Муромцев, исковые требования которого к акционерному обществу «Почта России», в том числе о взыскании убытков, почтовых расходов, штрафа, компенсации морального вреда, удовлетворены частично, оспаривает конституционность положений статьи 34 «Ответственность операторов почтовой связи» Федерального закона от 17 июля 1999 года № 176-ФЗ «О почтовой связи». По мнению заявителя, положения оспариваемой статьи не соответствуют Конституции Российской Федерации, ее статьям 2, 8 (часть 2), 15 (часть 1), 17 (части 1 и 3), 18, 35 (части 1–3), 45 (часть 1), 52 и 55 (часть 2), в той мере, в какой они по смыслу, придаваемому им правоприменительной практикой, в 2 случае утраты или порчи (повреждения) иных регистрируемых почтовых отправлений, в частности не имеющих объявленной ценности, ограничивают ответственность оператора почтовой связи двукратным размером суммы тарифной платы.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Муромцева Ильи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