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Чугунова Владимира Михайловича на нарушение его конституционных прав статьями 123–125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В.М.Чугунова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В.М.Чугунов, которому постановлением судьи возвращена для устранения недостатков поданная им в порядке статьи 125 УПК Российской Федерации жалоба, просит признать не соответствующими статьям 18, 45, 46 и 52 Конституции Российской Федерации статьи 123 «Право обжалования», 124 «Порядок рассмотрения жалобы прокурором, руководителем следственного органа» и 125 «Судебный порядок рассмотрения жалоб» УПК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требованию пункта 8 части второй статьи 37 Федерального конституционного закона «О Конституционном Суде Российской Федерации», заявитель не приводит правового обоснования неконституционности оспариваемых законоположений. Формально оспаривая их конституционность, он, по существу, выражает несогласие с действиями (бездействием) должностных лиц правоохранительных органов, а также с принятыми по его обращениям судебными решениями. Между тем оценка правомерности правоприменительных решений по конкретному делу с учетом его обстоятельств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Кроме того, использование в обращении В.М.Чугунова негативных и оскорбительных высказываний в отношении Конституционного Суда Российской Федерации свидетельствует об отсутствии у заявителя реального намерения использовать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Чугунова Владимира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