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статьями 15 и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15 «Возмещение убытков» и 393 «Обязанность должника возместить убытки» ГК Российской Федерации. Как следует из представленных материалов, решением суда общей юрисдикции, оставленным без изменения вышестоящими судами, отказано в удовлетворении требования О.А.Желудько к работодателю о взыскании убытков в виде упущенной выгоды. Суд пришел к выводу, что причинение убытков в виде упущенной выгоды не доказано. По мнению заявителя, оспариваемые нормы противоречат Конституции Российской Федерации, поскольку позволяют судам отказывать в возмещении 2 убытков в виде упущенной выгоды в размере неполученных работником доходов, которые он мог получить при размещении во вклад в банке невыплаченных работодателем такому работнику денежных сумм. Кроме того, заявитель просит восстановить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