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положений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в своих жалобах конституционность ряда положений Кодекса административного судопроизводства Российской Федерации. Как утверждает Э.А.Гусейнов, положения данного Кодекса,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