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Мельника Виктора Сергеевича на нарушение его конституционных прав статьями 125 и 127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В.С.Мельника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В.С.Мельник, неоднократно обращавшийся в суд с жалобами в порядке статьи 125 УПК Российской Федерации, утверждает, что статьи 125 «Судебный порядок рассмотрения жалоб» и 127 «Жалоба и представление на приговор, определение, постановление суда» УПК Российской Федерации не соответствуют Конституции Российской Федерации, поскольку позволяют суду произвольно отказывать в принятии жалобы к рассмотрению, ограничивая доступ граждан к правосудию, а также незаконно отказывать в ее удовлетворении.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Мельника Виктора Сергеевича,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