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Мерзликиной Ирины Петровны на нарушение ее конституционных прав статьей 2915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И.П.Мерзликиной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И.П.Мерзликина (индивидуальный предприниматель), жалоба которой на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возвращена письмом работника аппарата Верховного Суда Российской Федерации без рассмотрения по существу в связи с тем, что она подана по истечении срока ее подачи, оспаривает конституционность статьи 2915 «Возвращение кассационных жалобы, представления без рассмотрения по существу» АПК Российской Федерации. 2 По мнению заявительницы, оспариваемая норма не соответствует Конституции Российской Федерации в той мере, в какой она позволяет возвращать поданную в Верховный Суд Российской Федерации кассационную жалобу на основании письма работника аппарата этого суда, не имеющего статуса судьи, без принятия судебного акта о таком возвращении и без возможности его обжалования.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Мерзликиной Ирины Петровны,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