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3107-О/2023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Кутельваса Дмитрия Алексеевича на нарушение его конституционных прав частью второй статьи 622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Д.А.Кутельваса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Д.А.Кутельвас оспаривает конституционность части второй статьи 622 ГК Российской Федерации, закрепляющей, что,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 Как следует из представленных материалов, решением суда общей юрисдикции с учетом изменений, внесенных определением суда апелляционной инстанции, частично удовлетворены исковые требования 2 Д.А.Кутельваса, в пользу которого с общества с ограниченной ответственностью взыскана плата за фактическое пользование арендованным имуществом и проценты за пользование чужими денежными средствами. По мнению заявителя, оспариваемое положение не соответствует статье 19 (части 1 и 2) Конституции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Между тем, представленные с жалобой постановления судов первой и апелляционной инстанций не позволяют сделать вывод об исчерпании заявителем всех внутригосударственных средств судебной защиты его прав при разрешении конкретного дела, а следовательно, о соответствии жалобы критерию допустимости, установленному Федеральным конституционным законом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3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Кутельваса Дмитрия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