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Гетмановой Эллы Владимировны на нарушение ее конституционных прав статьями 168 и 181 Гражданского кодекса Российской Федерации, а также частью 6 статьи 46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Э.В.Гетмановой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Э.В.Гетманова оспаривает конституционность статей 168 «Недействительность сделки, нарушающей требования закона или иного правового акта» и 181 «Сроки исковой давности по недействительным сделкам» ГК Российской Федерации, части 6 статьи 46 «Решения общего собрания собственников помещений в многоквартирном доме» Жилищного кодекса Российской Федерации. 2 Как следует из представленных материалов, решением суда общей юрисдикции, оставленным без изменения определениями судов апелляционной и кассационной инстанций, Э.В.Гетмановой отказано в удовлетворении требований о признании деятельности члена правления и впоследствии – председателя правления товарищества собственников жилья – незаконной, а внесенных сведений о юридическом лице – недействительными. В передаче кассационной жалобы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Конституции Российской Федерации, ее статьям 2, 15, 19, 45 и 46, поскольку они позволяют судам признавать, что нарушение действующего законодательства не является нарушением ее прав и законных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Э.В.Гетмановой в обоснование своей позиции, свидетельствуют о том, что она, формально оспаривая конституционность упомянутых в ее жалобе положений, фактически ставит под сомнение правильность их применения судами. Между тем установление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Гетмановой Эллы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