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Брутасова Олега Владимировича на нарушение его конституционных прав частью второй статьи 345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О.В.Брутасова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О.В.Брутасов, осужденный за совершение преступления приговором суда от 4 сентября 2015 года, утверждает, что часть вторая статьи 345 «Провозглашение вердикта» УПК Российской Федерации противоречит статьям 49 (часть 3) и 50 (часть 1) Конституции Российской Федерации, поскольку позволяет признавать благоприятный для подсудимого вердикт присяжных противоречивым и устранять эти противоречия не в пользу подсудимого.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законом конституционных прав и свобод допустима, если закон применен в конкретном деле, рассмотрение которого завершено в суде, при этом жалоба должна быть подана в срок не позднее одного года после рассмотрения дела в суде. Между тем применение в деле О.В.Брутасова части второй статьи 345 УПК Российской Федерации подтверждается письмом заместителя Председателя Верховного Суда Российской Федерации от 23 октября 2017 года. Таким образом, с момента завершения рассмотрения в суде дела заявителя, в котором была применена оспариваемая норма, и до подачи им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Брутасова Олега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