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1745-О/2023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Сафонова Дениса Романовича на нарушение его конституционных прав пунктом 13 части четвертой статьи 47 и статьей 217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гражданина Д.Р.Сафонова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Гражданину Д.Р.Сафонову, отбывающему наказание в виде лишения свободы, письмом исполняющего обязанности председателя районного суда от 19 ноября 2020 года в ответ на ходатайство о предоставлении копий документов из уголовного дела разъяснено, что он может реализовать соответствующее право через защитника либо представителя за свой счет. По утверждению заявителя, пункт 13 части четвертой статьи 47 «Обвиняемый» и статья 217 «Ознакомление обвиняемого и его защитника с материалами уголовного дела» УПК Российской Федерации противоречат статьям 2, 17 (часть 3), 24 (часть 2) и 46 (часть 1) Конституции Российской Федерации, поскольку лишают осужденного, находящегося в местах лишения свободы, не имеющего доверенного лица и средств для оплаты 2 услуг адвоката, возможности ознакомиться с материалами, непосредственно затрагивающими его права и свободы, ограничивая тем самым его права на защиту и на доступ к правосудию.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Между тем представленные материалы свидетельствуют о том, что заявителем пропущен годичный срок, достаточный для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Сафонова Дениса Романовича,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