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Киваева Виктора Ивановича на нарушение его конституционных прав статьей 210 Гражданского кодекса Российской Федерации и статьей 1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В.И.Киваева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В.И.Киваев оспаривает конституционность статьи 210 «Бремя содержания имущества» ГК Российской Федерации и статьи 1 «Предмет регулирования настоящего Федерального закона»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По мнению заявителя, ходатайствующего о восстановлении пропущенного срока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Киваева Виктора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