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В. на нарушение его конституционных прав частью второй статьи 165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оставлена без удовлетворения жалоба гражданина В., в которой он выражал несогласие с действиями прокурора по его заявлению о возобновлении производства по делу ввиду новых или вновь открывшихся обстоятельств. В этой связи заявитель оспаривает конституционность части второй статьи 165 «Судебный порядок получения разрешения на производство следственного действия» УПК Российской Федерации, которая, по его мнению, применена в его деле в противоречии с ее смыслом, выявленным 2 Конституционным Судом Российской Федерации в Определении от 28 декабря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