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второй статьи 209, частью третьей статьи 390 и частью второй статьи 3901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С.Б.Козлова, дело с участием которой было рассмотрено судом, оспаривает конституционность части второй статьи 209 «Вступление в законную силу решений суда», части третьей статьи 390 «Полномочия кассационного суда общей юрисдикции» и части второй статьи 3901 «Определение кассационного суда общей юрисдикции» ГПК Российской Федерации. По мнению С.Б.Козловой, оспариваемые законоположения по смыслу, придаваемому им в системе действующего правового 2 регулирования сложившейся правоприменительной практикой, противоречат статьям 15 (часть 2), 17 (части 1 и 2), 19 (часть 1), 35 (части 1–3), 46 (части 1 и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209 ГПК Российской Федерации, согласно которой после вступления в законную силу решения суда стороны, другие лица, участвующие в деле, их правопреемники не могут вновь заявлять в суде те же исковые требования, на том же основании, а также оспаривать в другом гражданском процессе установленные судом факты и правоотношения, имеет целью пресечь рассмотрение судами тождественных требований (между теми же сторонами, о том же предмете и по тем же основаниям), а потому не может расцениваться в качестве нарушающей конституционные права заявительницы в ее конкретном деле, как и часть третья статьи 390, часть вторая статьи 3901 ГПК Российской Федерации, которые во взаимосвязи с иными предписаниями главы 41 этого Кодекса призваны обеспечить возможность исправления судебных ошибок в кассационном порядке.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