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Гуртякова Дмитрия Викторовича на нарушение его конституционных прав частью 14 статьи 89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Д.В.Гуртякова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Д.В.Гуртяков оспаривает конституционность части 14 статьи 89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согласно которой увольнение сотрудника органов внутренних дел по основанию, предусмотренному пунктом 9 части 3 статьи 82 данного Федерального закона, не допускается позднее шести месяцев со дня, когда прямому руководителю (начальнику) или непосредственному руководителю (начальнику) стало 2 известно о совершении сотрудником проступка, порочащего честь сотрудника органов внутренних дел, и позднее трех лет со дня его совершения. Как следует из представленных материалов, заявитель был уволен со службы на основании пункта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по результатам служебной проверки. По мнению Д.В.Гуртякова, оспариваемая норма, примененная в его деле судами общей юрисдикции, не соответствует статьям 19 (части 1 и 2), 37 (часть 3), 46 (часть 1), 55 (часть 3) и 751 Конституции Российской Федерации в той мере, в какой по смыслу, придаваемому ей правоприменительной практикой в системе действующего правового регулирования, допускает продление срока, установленного для увольнения со службы за совершение проступка, порочащего честь сотрудника органов внутренних дел, на период временной нетрудоспособности сотрудника.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Гуртякова Дмитрия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