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491-О/2024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Арьковой Валентины Ивановны на нарушение ее конституционных прав пунктами 1 и 2 статьи 1179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В.И.Арьковой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В.И.Арькова оспаривает конституционность пунктов 1 и 2 статьи 1179 «Наследование имущества члена крестьянского (фермерского) хозяйства» ГК Российской Федерации. Как следует из представленных материалов, определением суда общей юрисдикции, с которым согласились суды вышестоящих инстанций, удовлетворено заявление истцов о замене умершего ответчика – бывшего главы крестьянского (фермерского) хозяйства его правопреемником – гражданкой В.И.Арьковой в связи с необходимостью рассмотрения вопроса о возмещении ответчиком судебных расходов. 2 По мнению В.И.Арьковой, оспариваемая норма не соответствует статье 35 (часть 4) Конституции Российской Федерации, поскольку позволяет возлагать на наследника физического лица обязательства, порожденные деятельностью крестьянского (фермерского) хозяйства как корпорации, которую возглавлял наследодатель и которая продолжила свое существование после его смерти.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Арьковой Валентины Ивановны, поскольку она не отвечает требованиям Федерального 3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