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Алексеева Алексея Юрьевича на нарушение его конституционных прав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А.Ю.Алексеева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А.Ю.Алексеев просит признать часть первую статьи 125 «Судебный порядок рассмотрения жалоб» УПК Российской Федерации не соответствующей Конституции Российской Федерации, ее статьям 1, 2, 4 (часть 2), 15, 17, 18, 19 (часть 1), 21 (часть 1), 45 (часть 1), 46 (часть 1), 50 (часть 2), 52, 55 (часть 3), 56 (часть 3) и 123 (часть 3), в той мере, в какой по смыслу, придаваемому ей правоприменительной практикой, она позволяет 2 суду отказывать в проверке законности и обоснованности решения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указанного законоположения, А.Ю.Алексеев фактически связывает нарушение своих прав не с его содержанием, а с вынесенными по его жалобам судебными решениями, с которыми он выражает несогласие; утверждает, что суды проигнорировали его доводы и необоснованно устранились от всесторонней проверки обжалуемого им в порядке статьи 125 УПК Российской Федерации решения. Тем самым заявитель предлагает Конституционному Суду Российской Федерации дать оценку не норме закона, а конкретным решениям и действиям правоприменительных органов, что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Алексеева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