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3363-О/2025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С. на нарушение его конституционных прав статьями 190 и 191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 оспаривает конституционность статей 190 «Определение срока» и 191 «Начало срока, определенного периодом времени» ГК Российской Федерации. Из представленных материалов следует, что заявитель был привлечен к дисциплинарной ответственности за нарушение выполнения должностных обязанностей в сроки, определенные ведомственным нормативным актом. Решением окружного военного суда, с которым согласились суды апелляционной и кассационной инстанций, С. отказано в том числе в признании незаконным его привлечения к дисциплинарной ответственности. По мнению заявителя, оспариваемые нормы противоречат Конституции Российской Федерации, ее статьям 2, 19 (часть 1) и 49 (части 1 и 3), поскольку 2 не позволяют однозначно определить даты начала и окончания течения сроков, закрепленных в ведомственных нормативных актах.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С., поскольку она не отвечает требованиям Федерального конституционного закона «О Конституционном Суде Российской Федерации», в соответствии с 3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