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частью первой статьи 397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части первой статьи 397 «Определение суда о пересмотре судебных постановлений по вновь открывшимся или новым обстоятельствам»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И.А.Сысоеву отказано в удовлетворении заявления о пересмотре вступившего в законную силу решения суда по новым обстоятельствам. Определением судьи Верховного Суда Российской Федерации, с которым согласился заместитель Председателя этого суда, заявителю было отказано в 2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И.А.Сысоева, оспариваемое законоположение по смыслу, придаваемому ему правоприменительной практикой, противоречит Конституции Российской Федерации, ее статьям 19 (части 1 и 2), 21 (часть 1), 45, 46 (часть 1) и 55, поскольку позволяет суду, используя материалы другого дела, рассматривать обращение заявителя в отсутствие на то его волеизъявления.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