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Задворнова Антона Александровича на нарушение его конституционных прав статьями 1102 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А.А.Задворнова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А.А.Задворнов оспаривает конституционность статей 1102 «Обязанность возвратить неосновательное обогащение» и 1109 «Неосновательное обогащение, не подлежащее возврату» ГК Российской Федерации. Как следует из представленных материалов, решением суда общей юрисдикции, оставленным без изменения определениями судов апелляционной и кассационной инстанций, исковое требование А.А.Задворнова о взыскании неосновательного обогащения оставлено без удовлетворения. По мнению заявителя, оспариваемые положения противоречат статьям 18, 46 (часть 1), 123 (часть 3) Конституции Российской Федерации, поскольку 2 допускают их произвольное толкование и неправильное применение в ходе судебного разбирательства.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Задворнова Антона Александровича,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