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2757-О/2023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Сережина Сергея Витальевича на нарушение его конституционных прав положениями части второй статьи 22 Трудового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С.В.Сережина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С.В.Сережин оспаривает конституционность положений части второй статьи 22 Трудового кодекса Российской Федерации, устанавливающих основные обязанности работодателя. По мнению заявителя, оспариваемые законоположения не соответствуют статьям 19, 41, 45–47, 55 и 123 Конституции Российской Федерации, поскольку по смыслу, придаваемому им правоприменительной практикой, лишают граждан права на справедливый труд и на оформление должным образом трудовых отношений.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2 Положения части второй статьи 22 Трудового кодекса Российской Федерации, закрепляющие обязанности работодателя, направлены на обеспечение принципа законности и эффективного управления трудовой деятельностью, согласуются с задачей создания необходимых условий для достижения оптимального согласования интересов сторон трудовых отношений (часть вторая статьи 1 Трудового кодекса Российской Федерации) и не могут расцениваться как нарушающие права граждан, в том числе заявителя. Следовательно, данная жалоба не отвечает критерию допустимости обращений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Сережина Сергея Витальевича, поскольку она не отвечает требованиям Федерального конституционного закона «О Конституционном Суде Российской 3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