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Розенталя Александра Викторовича на нарушение его конституционных прав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А.В.Розенталя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А.В.Розенталь, осужденный и отбывающий наказание, просит признать часть первую статьи 4129 «Основания отмены или изменения судебных решений в порядке надзора» УПК Российской Федерации противоречащей статье 50 (часть 3) Конституции Российской Федерации в той мере, в какой она закрепляет в качестве условия для пересмотра приговора существенность допущенных нарушений, критерии оценки которой не установлены.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Согласно части первой статьи 4129 УПК Российской Федерации основаниями отмены или изменения приговора, определения или постановления суда в порядке надзора являются существенные нарушения уголовного и (или) уголовно-процессуального законов, повлиявшие на исход дела, либо выявление данных, свидетельствующих о несоблюдении лицом условий и невыполнении им обязательств, предусмотренных досудебным соглашением о сотрудничестве.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Розенталя Александра Викторовича,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