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«Группа компаний «Ювелирторг» на нарушение его конституционных прав статьями 450 и 451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«Группа компаний «Ювелирторг»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«Группа компаний «Ювелирторг» (далее – общество, заявитель) оспаривает конституционность статей 450 «Основания изменения и расторжения договора» и 451 «Изменение и расторжение договора в связи с существенным изменением обстоятельств» ГК Российской Федерации. Как следует из представленных материалов, апелляционным определением арбитражного суда, с которым согласились вышестоящие суды, отказано в удовлетворении требований заявителя к органу местного самоуправления и хозяйственному обществу о расторжении договора аренды 2 городских земель. Суд не нашел оснований для применения положений статей 450 и 451 данного Кодекса. По мнению заявителя, оспариваемые нормы противоречат статьям 17 (часть 3), 19, 45 (часть 2) и 46 (части 1 и 2) Конституции Российской Федерации в той мере, в какой они в системе действующего регулирования и по смыслу, придаваемому им правоприменительной практикой, исключают право одного из арендаторов заявлять требование о расторжении договора аренды земельного участка в отношении другого арендатора, утратившего право собственности на объект недвижимости, находившийся на таком участке.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Представленные с жалобой судебные акты свидетельствуют о пропуске обществом годичного срока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«Группа компаний «Ювелирторг»,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