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Просунко Елены Викторовны и Суздальцевой Дианы Юрьевны, действующей в своих интересах и интересах несовершеннолетней дочери, на нарушение их конституционных прав положениями Жилищного кодекса Российской Федерации и статьей 13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Е.В.Просунко и Д.Ю.Суздальцевой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Е.В.Просунко и Д.Ю.Суздальцева, действующая в своих интересах и интересах несовершеннолетней дочери, оспаривают конституционность следующих законоположений: статьи 93 «Назначение служебных жилых помещений», части 2 статьи 102 «Прекращение договора найма специализированного жилого помещения», частей 1 и 2 статьи 103 «Выселение граждан из специализированных жилых помещений» и части 3 статьи 104 2 «Предоставление служебных жилых помещений» Жилищного кодекса Российской Федерации; статьи 13 Федерального закона от 29 декабря 2004 года № 189-ФЗ «О введении в действие Жилищного кодекса Российской Федерации» о запрете на выселение определенной категории граждан из служебных жилых помещений и жилых помещений в общежитиях без предоставления других жилых помещений. По мнению заявительниц, оспариваемые законоположения в силу своей неопределенности не соответствуют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Просунко Елены Викторовны и Суздальцевой Дианы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