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Медведевой Любови Николаевны на нарушение ее конституционных прав пунктом 1 статьи 1155 Гражданского кодекса Российской Федерации во взаимосвязи с пунктом 1 статьи 1151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Л.Н.Медведевой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Л.Н.Медведева оспаривает конституционность пункта 1 статьи 1155 «Принятие наследства по истечении установленного срока» ГК Российской Федерации во взаимосвязи с пунктом 1 статьи 1151 «Наследование выморочного имущества» того же Кодекса. Как следует из представленных материалов, решением суда общей юрисдикции, с которым согласились вышестоящие суды, отказано в удовлетворении требований Л.Н.Медведевой о восстановлении срока для принятия наследства и признании права собственности на наследственное имущество. 2 По мнению заявительницы, пункт 1 статьи 1155 Гражданского кодекса Российской Федерации во взаимосвязи с пунктом 1 статьи 1151 того же Кодекса противоречит статьям 35 (части 1 и 4) и 46 (часть 1) Конституции Российской Федерации, поскольку не содержит критериев, на основании которых определяется информированность наследника о факте смерти наследодателя, и противоречит цели института выморочного имущества, направленного на предотвращение бесхозяйности наследства, чем нарушает право наследования и право частной собственности.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Медведевой Любови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