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Югова Александра Семеновича на нарушение его конституционных прав пунктом 3 части 2 статьи 145 и частью 2 статьи 147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А.С.Югова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А.С.Югов, которому решением суда общей юрисдикции, оставленным без изменения судами вышестоящих инстанций, отказано в удовлетворении иска о признании недействительным решения общего собрания членов товарищества собственников жилья, оспаривает конституционность пункта 3 части 2 статьи 145 «Общее собрание членов товарищества собственников жилья» и части 2 статьи 147 «Правление товарищества собственников жилья» Жилищного кодекса Российской Федерации. По мнению заявителя, оспариваемые нормы противоречат статье 46 (часть 1) Конституции Российской Федерации в той мере, в какой по смыслу, 2 придаваемому правоприменительной практикой, они допускают возможность принятия общим собранием членов товарищества собственников жилья решения, в соответствии с которым срок полномочий правления этого объединения начинает течь ранее даты подведения итогов голосования. Кроме того, А.С.Югов просит отменить вынесенные судебные постановления и принять по делу новое решение.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Югова Александра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