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Северина Валерия Владимировича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В.В.Северина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В.В.Северин оспаривает конституционность следующих законоположений: статей 304 «Защита прав собственника от нарушений, не связанных с лишением владения» и 305 «Защита прав владельца, не являющегося собственником» ГК Российской Федерации; частей 2, 6 и 8 статьи 6 Водного кодекса Российской Федерации о том, что граждане вправе иметь доступ к водным объектам общего пользования и пользоваться береговой полосой таких объектов. По мнению заявителя, оспариваемые законоположения не соответствуют статьям 1 (часть 1), 8, 19, 35, 36 и 54 Конституции Российской Федерации в той мере, в которой они позволяют судам применять санкцию в виде возложения обязанности по сносу построек на невиновное лицо.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Северина Валерия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