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3068-О/2023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Фархетовой Ольги Алексеевны на нарушение ее конституционных прав частями первой и второй статьи 397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О.А.Фархетовой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О.А.Фархетова, которой письмами судьи суда общей юрисдикции были возвращены ее заявления о пересмотре вступившего в законную силу судебного постановления по вновь открывшимся обстоятельствам без рассмотрения по существу в связи с пропуском процессуального срока на их подачу в указанной процедуре, оспаривает конституционность частей первой и второй статьи 397 «Определение суда о пересмотре судебных постановлений по вновь открывшимся или новым обстоятельствам» ГПК Российской Федерации. По мнению заявительницы, оспариваемые положения не соответствуют статьям 2, 6 (часть 2), 18, 19 (часть 1) и 46 (части 1 и 2) Конституции 2 Российской Федерации, поскольку позволили судье возвратить поданные ею заявления о пересмотре судебного постановления по вновь открывшимся обстоятельствам во внепроцессуальной форме посредством письменного уведомления, что препятствует реализации ее права на судебную защиту, в том числе возможности обжалования такого решения в суде вышестоящей инстанции.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Фархетовой Ольги Алексеевны,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