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2528-О/2024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Земцева Михаила Владимировича на нарушение его конституционных прав Кодексом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М.В.Земцева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М.В.Земцев оспаривает конституционность Кодекса административного судопроизводства Российской Федерации. Как следует из представленных материалов определением суда общей юрисдикции, с которым согласились суды вышестоящих инстанций, заявителю отказано в принятии административного искового заявления о признании незаконными действий (бездействия) заместителя председателя Верховного Суда Российской Федерации, выразившихся в отказе в передаче кассационной жалобы для рассмотрения в судебном заседании суда кассационной инстанции. Как указал суд, действия судьи сами по себе не могут быть самостоятельным предметом оспаривания в порядке административного судопроизводства. 2 По мнению заявителя, оспариваемый Кодекс нарушает его права, а потому противоречит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Конституционного Суда Российской Федерации от 31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Земцева Михаила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