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пунктом 1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пункта 1 статьи 97 «Допустимость жалобы» Федерального конституционного закона от 21 июля 1994 года № 1-ФКЗ «О Конституционном Суде Российской Федерации». Определением от 20 июля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