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садоводческого некоммерческого товарищества «Виноградово» на нарушение его конституционных прав частью 1 статьи 188 и частью 1 статьи 290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садоводческого некоммерческого товарищества «Виноградово»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апелляционной инстанции садоводческому некоммерческому товариществу «Виноградово» (далее также – СНТ «Виноградово») отказано в удовлетворении апелляционной жалобы на определение арбитражного суда первой инстанции о передаче дела по подсудности в другой арбитражный суд. Определением судьи арбитражного суда округа заявителю возвращена без рассмотрения по существу его кассационная жалоба на данные судебные акты, как поданная на судебный акт, который в соответствии с положениями Арбитражного 2 процессуального кодекса Российской Федерации не обжалуется в порядке кассационного производства. Определением судьи Верховного Суда Российской Федерации отказано в передаче кассационной жалобы СНТ «Виноградово» для рассмотрения в судебном заседании Судебной коллегии по экономическим спорам Верховного Суда Российской Федерации. Заявитель просит признать часть 1 статьи 188 «Порядок и сроки обжалования определений» и части 1 статьи 290 «Кассационные жалобы на определения арбитражного суда первой и апелляционной инстанций» АПК Российской Федерации соответствующими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гражданин, организация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садоводческого некоммерческого товарищества «Виноградово»,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