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Чапоргиной Лилии Ивановны на нарушение ее конституционных прав статьями 38916, 416 и 417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Л.И.Чапоргиной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Л.И.Чапоргина, в отношении которой в 1996–1997 годах велось уголовное преследование, утверждает, что статьи 38916 «Несоответствие выводов суда, изложенных в приговоре, фактическим обстоятельствам уголовного дела», 416 «Действия прокурора по окончании проверки или расследования» и 417 «Порядок разрешения судом вопроса о возобновлении производства по уголовному делу» УПК 2 Российской Федерации противоречат статьям 46 и 50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заявительницей не представлено каких-либо судебных актов, подтверждающих применение судом в ее конкретном деле оспариваемых законоположений. Кроме того, Л.И.Чапоргина не приводит правового обоснования неконституционности обжалуемых норм, а излагает фактические обстоятельства уголовного дела и выражает несогласие с принятыми по нему решениями, тем самым, по существу, предлагая Конституционному Суду Российской Федерации дать им оценку. Между тем такая оценка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Чапоргиной Лилии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